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18B8" w:rsidRPr="001A40E2" w:rsidRDefault="00B72A4F" w:rsidP="007B18B8">
      <w:pPr>
        <w:spacing w:after="180"/>
        <w:rPr>
          <w:b/>
          <w:sz w:val="44"/>
          <w:szCs w:val="44"/>
        </w:rPr>
      </w:pPr>
      <w:r>
        <w:rPr>
          <w:b/>
          <w:sz w:val="44"/>
          <w:szCs w:val="44"/>
        </w:rPr>
        <w:t>Lids off</w:t>
      </w:r>
    </w:p>
    <w:p w:rsidR="007B18B8" w:rsidRDefault="007B18B8" w:rsidP="007B18B8">
      <w:pPr>
        <w:spacing w:after="180"/>
      </w:pPr>
    </w:p>
    <w:p w:rsidR="00B72A4F" w:rsidRDefault="00B72A4F" w:rsidP="00B72A4F">
      <w:pPr>
        <w:spacing w:after="240"/>
        <w:rPr>
          <w:lang w:val="en-US"/>
        </w:rPr>
      </w:pPr>
      <w:r w:rsidRPr="00B72A4F">
        <w:rPr>
          <w:lang w:val="en-US"/>
        </w:rPr>
        <w:t>The lids of these jars twist off.</w:t>
      </w:r>
    </w:p>
    <w:p w:rsidR="00B72A4F" w:rsidRPr="00B72A4F" w:rsidRDefault="00B72A4F" w:rsidP="00B72A4F">
      <w:pPr>
        <w:spacing w:after="240"/>
      </w:pPr>
    </w:p>
    <w:p w:rsidR="007B18B8" w:rsidRPr="00201AC2" w:rsidRDefault="00B72A4F" w:rsidP="00B72A4F">
      <w:pPr>
        <w:spacing w:after="240"/>
        <w:jc w:val="center"/>
        <w:rPr>
          <w:szCs w:val="18"/>
        </w:rPr>
      </w:pPr>
      <w:r>
        <w:rPr>
          <w:noProof/>
          <w:szCs w:val="18"/>
          <w:lang w:eastAsia="en-GB"/>
        </w:rPr>
        <w:drawing>
          <wp:inline distT="0" distB="0" distL="0" distR="0" wp14:anchorId="4A2E3263">
            <wp:extent cx="3225165" cy="2182495"/>
            <wp:effectExtent l="0" t="0" r="0" b="825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25165" cy="2182495"/>
                    </a:xfrm>
                    <a:prstGeom prst="rect">
                      <a:avLst/>
                    </a:prstGeom>
                    <a:noFill/>
                  </pic:spPr>
                </pic:pic>
              </a:graphicData>
            </a:graphic>
          </wp:inline>
        </w:drawing>
      </w:r>
    </w:p>
    <w:p w:rsidR="00B72A4F" w:rsidRDefault="00B72A4F" w:rsidP="007B18B8">
      <w:pPr>
        <w:spacing w:after="240"/>
        <w:rPr>
          <w:szCs w:val="18"/>
          <w:highlight w:val="yellow"/>
          <w:lang w:val="en-US"/>
        </w:rPr>
      </w:pPr>
    </w:p>
    <w:p w:rsidR="00B72A4F" w:rsidRPr="00B72A4F" w:rsidRDefault="00B72A4F" w:rsidP="00B72A4F">
      <w:pPr>
        <w:spacing w:after="120"/>
        <w:rPr>
          <w:szCs w:val="18"/>
        </w:rPr>
      </w:pPr>
      <w:r w:rsidRPr="00B72A4F">
        <w:rPr>
          <w:sz w:val="28"/>
          <w:szCs w:val="18"/>
          <w:lang w:val="en-US"/>
        </w:rPr>
        <w:t>Which lid needs less force to twist off?</w:t>
      </w:r>
    </w:p>
    <w:p w:rsidR="007B18B8" w:rsidRDefault="007B18B8" w:rsidP="00B72A4F">
      <w:pPr>
        <w:spacing w:after="120"/>
      </w:pPr>
      <w:r>
        <w:t>Put a tick (</w:t>
      </w:r>
      <w:r>
        <w:sym w:font="Wingdings" w:char="F0FC"/>
      </w:r>
      <w:r>
        <w:t>) in the box next to the best answer.</w:t>
      </w:r>
      <w:r>
        <w:tab/>
      </w:r>
    </w:p>
    <w:tbl>
      <w:tblPr>
        <w:tblW w:w="8789" w:type="dxa"/>
        <w:tblInd w:w="142" w:type="dxa"/>
        <w:tblLayout w:type="fixed"/>
        <w:tblLook w:val="01E0" w:firstRow="1" w:lastRow="1" w:firstColumn="1" w:lastColumn="1" w:noHBand="0" w:noVBand="0"/>
      </w:tblPr>
      <w:tblGrid>
        <w:gridCol w:w="567"/>
        <w:gridCol w:w="7655"/>
        <w:gridCol w:w="567"/>
      </w:tblGrid>
      <w:tr w:rsidR="007B18B8" w:rsidRPr="00AE07E9" w:rsidTr="00677EDD">
        <w:trPr>
          <w:cantSplit/>
          <w:trHeight w:hRule="exact" w:val="567"/>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rsidR="00B72A4F" w:rsidRPr="009F3146" w:rsidRDefault="00B72A4F" w:rsidP="00677EDD">
            <w:pPr>
              <w:tabs>
                <w:tab w:val="right" w:leader="dot" w:pos="8680"/>
              </w:tabs>
            </w:pPr>
            <w:r>
              <w:t>The one on jar X.</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170"/>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rsidR="007B18B8" w:rsidRPr="00AE07E9"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567"/>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rsidR="007B18B8" w:rsidRPr="009F3146" w:rsidRDefault="00B72A4F" w:rsidP="00677EDD">
            <w:pPr>
              <w:tabs>
                <w:tab w:val="right" w:leader="dot" w:pos="8680"/>
              </w:tabs>
            </w:pPr>
            <w:r>
              <w:t>The one on jar Y.</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170"/>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p>
        </w:tc>
        <w:tc>
          <w:tcPr>
            <w:tcW w:w="7655" w:type="dxa"/>
          </w:tcPr>
          <w:p w:rsidR="007B18B8" w:rsidRPr="00AE07E9"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567"/>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rsidR="007B18B8" w:rsidRPr="00B72A4F" w:rsidRDefault="00B72A4F" w:rsidP="00677EDD">
            <w:pPr>
              <w:tabs>
                <w:tab w:val="right" w:leader="dot" w:pos="8680"/>
              </w:tabs>
            </w:pPr>
            <w:r w:rsidRPr="00B72A4F">
              <w:t>They both need the same force.</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5E2995" w:rsidRPr="006F3279" w:rsidRDefault="005E2995" w:rsidP="005E2995">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PFM: Forces and motion &gt; Topic PFM3: More about force</w:t>
      </w:r>
      <w:r w:rsidRPr="00CA4B46">
        <w:rPr>
          <w:i/>
          <w:sz w:val="18"/>
          <w:szCs w:val="18"/>
        </w:rPr>
        <w:t xml:space="preserve"> &gt; </w:t>
      </w:r>
      <w:r>
        <w:rPr>
          <w:i/>
          <w:sz w:val="18"/>
          <w:szCs w:val="18"/>
        </w:rPr>
        <w:t>Key concept</w:t>
      </w:r>
      <w:r w:rsidRPr="00CA4B46">
        <w:rPr>
          <w:i/>
          <w:sz w:val="18"/>
          <w:szCs w:val="18"/>
        </w:rPr>
        <w:t xml:space="preserve"> </w:t>
      </w:r>
      <w:r>
        <w:rPr>
          <w:i/>
          <w:sz w:val="18"/>
          <w:szCs w:val="18"/>
        </w:rPr>
        <w:t>PFM3.3</w:t>
      </w:r>
      <w:r w:rsidRPr="00CA4B46">
        <w:rPr>
          <w:i/>
          <w:sz w:val="18"/>
          <w:szCs w:val="18"/>
        </w:rPr>
        <w:t xml:space="preserve">: </w:t>
      </w:r>
      <w:r>
        <w:rPr>
          <w:i/>
          <w:sz w:val="18"/>
          <w:szCs w:val="18"/>
        </w:rPr>
        <w:t xml:space="preserve">Turning </w:t>
      </w:r>
      <w:r w:rsidR="00AD26BF">
        <w:rPr>
          <w:i/>
          <w:sz w:val="18"/>
          <w:szCs w:val="18"/>
        </w:rPr>
        <w:t>effects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DE32F8" w:rsidP="006F3279">
            <w:pPr>
              <w:spacing w:after="60"/>
              <w:ind w:left="1304"/>
              <w:rPr>
                <w:b/>
                <w:sz w:val="40"/>
                <w:szCs w:val="40"/>
              </w:rPr>
            </w:pPr>
            <w:r>
              <w:rPr>
                <w:b/>
                <w:sz w:val="40"/>
                <w:szCs w:val="40"/>
              </w:rPr>
              <w:t>Lids off</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5E2995" w:rsidTr="003F16F9">
        <w:trPr>
          <w:trHeight w:val="340"/>
        </w:trPr>
        <w:tc>
          <w:tcPr>
            <w:tcW w:w="2196" w:type="dxa"/>
          </w:tcPr>
          <w:p w:rsidR="005E2995" w:rsidRDefault="005E2995" w:rsidP="005E2995">
            <w:pPr>
              <w:spacing w:before="60" w:after="60"/>
            </w:pPr>
            <w:r>
              <w:t>Learning focus:</w:t>
            </w:r>
          </w:p>
        </w:tc>
        <w:tc>
          <w:tcPr>
            <w:tcW w:w="6820" w:type="dxa"/>
          </w:tcPr>
          <w:p w:rsidR="005E2995" w:rsidRDefault="005E2995" w:rsidP="005E2995">
            <w:pPr>
              <w:spacing w:before="60" w:after="60"/>
            </w:pPr>
            <w:r w:rsidRPr="004122E7">
              <w:t>If a force acts on a pivoted object, the object turns about its pivot: the size of the turning effect depends on the size of the force and on its (perpendicular) distance from the pivot.</w:t>
            </w:r>
          </w:p>
        </w:tc>
      </w:tr>
      <w:tr w:rsidR="005E2995" w:rsidTr="003F16F9">
        <w:trPr>
          <w:trHeight w:val="340"/>
        </w:trPr>
        <w:tc>
          <w:tcPr>
            <w:tcW w:w="2196" w:type="dxa"/>
          </w:tcPr>
          <w:p w:rsidR="005E2995" w:rsidRDefault="005E2995" w:rsidP="005E2995">
            <w:pPr>
              <w:spacing w:before="60" w:after="60"/>
            </w:pPr>
            <w:r>
              <w:t>Observable learning outcome:</w:t>
            </w:r>
          </w:p>
        </w:tc>
        <w:tc>
          <w:tcPr>
            <w:tcW w:w="6820" w:type="dxa"/>
          </w:tcPr>
          <w:p w:rsidR="005E2995" w:rsidRPr="00A50C9C" w:rsidRDefault="005E2995" w:rsidP="005E2995">
            <w:pPr>
              <w:spacing w:before="60" w:after="60"/>
              <w:rPr>
                <w:b/>
              </w:rPr>
            </w:pPr>
            <w:r w:rsidRPr="004122E7">
              <w:t>Recall that a bigger applied force and/or a longer lever gives a larger turning effect.</w:t>
            </w:r>
          </w:p>
        </w:tc>
      </w:tr>
      <w:tr w:rsidR="005E2995" w:rsidTr="003F16F9">
        <w:trPr>
          <w:trHeight w:val="340"/>
        </w:trPr>
        <w:tc>
          <w:tcPr>
            <w:tcW w:w="2196" w:type="dxa"/>
          </w:tcPr>
          <w:p w:rsidR="005E2995" w:rsidRDefault="005E2995" w:rsidP="005E2995">
            <w:pPr>
              <w:spacing w:before="60" w:after="60"/>
            </w:pPr>
            <w:r>
              <w:t>Question type:</w:t>
            </w:r>
          </w:p>
        </w:tc>
        <w:tc>
          <w:tcPr>
            <w:tcW w:w="6820" w:type="dxa"/>
          </w:tcPr>
          <w:p w:rsidR="005E2995" w:rsidRDefault="005E2995" w:rsidP="005E2995">
            <w:pPr>
              <w:spacing w:before="60" w:after="60"/>
            </w:pPr>
            <w:r>
              <w:t>Simple</w:t>
            </w:r>
            <w:r w:rsidRPr="00535269">
              <w:t xml:space="preserve"> multiple</w:t>
            </w:r>
            <w:r>
              <w:t xml:space="preserve"> choice</w:t>
            </w:r>
          </w:p>
        </w:tc>
      </w:tr>
      <w:tr w:rsidR="005E2995" w:rsidTr="003F16F9">
        <w:trPr>
          <w:trHeight w:val="340"/>
        </w:trPr>
        <w:tc>
          <w:tcPr>
            <w:tcW w:w="2196" w:type="dxa"/>
          </w:tcPr>
          <w:p w:rsidR="005E2995" w:rsidRDefault="005E2995" w:rsidP="005E2995">
            <w:pPr>
              <w:spacing w:before="60" w:after="60"/>
            </w:pPr>
            <w:r>
              <w:t>Key words:</w:t>
            </w:r>
          </w:p>
        </w:tc>
        <w:tc>
          <w:tcPr>
            <w:tcW w:w="6820" w:type="dxa"/>
            <w:tcBorders>
              <w:bottom w:val="dotted" w:sz="4" w:space="0" w:color="auto"/>
            </w:tcBorders>
          </w:tcPr>
          <w:p w:rsidR="005E2995" w:rsidRDefault="005E2995" w:rsidP="005E2995">
            <w:pPr>
              <w:spacing w:before="60" w:after="60"/>
            </w:pPr>
            <w:r>
              <w:t>force, turning effect</w:t>
            </w:r>
          </w:p>
        </w:tc>
      </w:tr>
    </w:tbl>
    <w:p w:rsidR="00D04A0D" w:rsidRDefault="00D04A0D" w:rsidP="000505CA">
      <w:pPr>
        <w:spacing w:after="180"/>
        <w:rPr>
          <w:highlight w:val="yellow"/>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E2995" w:rsidTr="004036C7">
        <w:tc>
          <w:tcPr>
            <w:tcW w:w="709" w:type="dxa"/>
            <w:shd w:val="clear" w:color="auto" w:fill="B2A1C7" w:themeFill="accent4" w:themeFillTint="99"/>
            <w:tcMar>
              <w:left w:w="28" w:type="dxa"/>
              <w:bottom w:w="57" w:type="dxa"/>
              <w:right w:w="28" w:type="dxa"/>
            </w:tcMar>
            <w:vAlign w:val="center"/>
          </w:tcPr>
          <w:p w:rsidR="005E2995" w:rsidRPr="00F72ECC" w:rsidRDefault="005E2995" w:rsidP="004036C7">
            <w:pPr>
              <w:jc w:val="center"/>
              <w:rPr>
                <w:b/>
                <w:color w:val="FFFFFF" w:themeColor="background1"/>
                <w:sz w:val="40"/>
              </w:rPr>
            </w:pPr>
            <w:r>
              <w:rPr>
                <w:b/>
                <w:color w:val="FFFFFF" w:themeColor="background1"/>
                <w:sz w:val="56"/>
              </w:rPr>
              <w:t>P</w:t>
            </w:r>
          </w:p>
        </w:tc>
        <w:tc>
          <w:tcPr>
            <w:tcW w:w="8307" w:type="dxa"/>
            <w:tcMar>
              <w:left w:w="170" w:type="dxa"/>
            </w:tcMar>
            <w:vAlign w:val="center"/>
          </w:tcPr>
          <w:p w:rsidR="005E2995" w:rsidRPr="002C79AE" w:rsidRDefault="005E2995" w:rsidP="004036C7">
            <w:pPr>
              <w:spacing w:after="60"/>
              <w:rPr>
                <w:color w:val="5F497A" w:themeColor="accent4" w:themeShade="BF"/>
                <w:sz w:val="20"/>
              </w:rPr>
            </w:pPr>
            <w:r w:rsidRPr="002C79AE">
              <w:rPr>
                <w:b/>
                <w:color w:val="5F497A" w:themeColor="accent4" w:themeShade="BF"/>
              </w:rPr>
              <w:t>PRIOR UNDERSTANDING</w:t>
            </w:r>
            <w:r>
              <w:rPr>
                <w:b/>
                <w:color w:val="5F497A" w:themeColor="accent4" w:themeShade="BF"/>
              </w:rPr>
              <w:t xml:space="preserve"> </w:t>
            </w:r>
          </w:p>
          <w:p w:rsidR="005E2995" w:rsidRDefault="005E2995" w:rsidP="004036C7">
            <w:r w:rsidRPr="00F72ECC">
              <w:rPr>
                <w:sz w:val="20"/>
              </w:rPr>
              <w:t xml:space="preserve">This </w:t>
            </w:r>
            <w:r>
              <w:rPr>
                <w:sz w:val="20"/>
              </w:rPr>
              <w:t>diagnostic question</w:t>
            </w:r>
            <w:r w:rsidRPr="00F72ECC">
              <w:rPr>
                <w:sz w:val="20"/>
              </w:rPr>
              <w:t xml:space="preserve"> </w:t>
            </w:r>
            <w:r>
              <w:rPr>
                <w:sz w:val="20"/>
              </w:rPr>
              <w:t xml:space="preserve">probes understanding of </w:t>
            </w:r>
            <w:r w:rsidRPr="00F72ECC">
              <w:rPr>
                <w:sz w:val="20"/>
              </w:rPr>
              <w:t xml:space="preserve">ideas </w:t>
            </w:r>
            <w:r>
              <w:rPr>
                <w:sz w:val="20"/>
              </w:rPr>
              <w:t>that are usually taught at age 5-11</w:t>
            </w:r>
            <w:r w:rsidRPr="00F72ECC">
              <w:rPr>
                <w:sz w:val="20"/>
              </w:rPr>
              <w:t>, to aid transition</w:t>
            </w:r>
            <w:r>
              <w:rPr>
                <w:sz w:val="20"/>
              </w:rPr>
              <w:t xml:space="preserve"> from earlier stages of learning</w:t>
            </w:r>
            <w:r w:rsidRPr="00F72ECC">
              <w:rPr>
                <w:sz w:val="20"/>
              </w:rPr>
              <w:t xml:space="preserve">. </w:t>
            </w:r>
          </w:p>
        </w:tc>
      </w:tr>
    </w:tbl>
    <w:p w:rsidR="005E2995" w:rsidRDefault="005E2995" w:rsidP="005E2995">
      <w:pPr>
        <w:rPr>
          <w:b/>
          <w:color w:val="5F497A" w:themeColor="accent4" w:themeShade="BF"/>
          <w:sz w:val="24"/>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5E2995" w:rsidRDefault="005E2995" w:rsidP="005E2995">
      <w:pPr>
        <w:spacing w:after="180"/>
      </w:pPr>
      <w:r>
        <w:t xml:space="preserve">From an early age students often have an intuitive understanding of turning effects through their everyday interactions with doors, see-saws and other mechanical devices </w:t>
      </w:r>
      <w:r>
        <w:fldChar w:fldCharType="begin">
          <w:fldData xml:space="preserve">PEVuZE5vdGU+PENpdGU+PEF1dGhvcj5JbmhlbGRlcjwvQXV0aG9yPjxZZWFyPjE5NTg8L1llYXI+
PElEVGV4dD5UaGUgR3Jvd3RoIG9mIExvZ2ljYWwgVGhpbmtpbmcgZnJvbSBDaGlsZGhvb2QgdG8g
QWRvbGVzY2VuY2U8L0lEVGV4dD48RGlzcGxheVRleHQ+KEluaGVsZGVyIGFuZCBQaWFnZXQsIDE5
NTg7IERyaXZlciBldCBhbC4sIDE5OTRhOyBJbnN0aXR1dGUgb2YgUGh5c2ljcyk8L0Rpc3BsYXlU
ZXh0PjxyZWNvcmQ+PHRpdGxlcz48dGl0bGU+VGhlIEdyb3d0aCBvZiBMb2dpY2FsIFRoaW5raW5n
IGZyb20gQ2hpbGRob29kIHRvIEFkb2xlc2NlbmNlPC90aXRsZT48L3RpdGxlcz48Y29udHJpYnV0
b3JzPjxhdXRob3JzPjxhdXRob3I+SW5oZWxkZXIsIEI8L2F1dGhvcj48YXV0aG9yPlBpYWdldCwg
SjwvYXV0aG9yPjwvYXV0aG9ycz48L2NvbnRyaWJ1dG9ycz48YWRkZWQtZGF0ZSBmb3JtYXQ9InV0
YyI+MTU2MDk1NDIzMTwvYWRkZWQtZGF0ZT48cHViLWxvY2F0aW9uPkxvbmRvbjwvcHViLWxvY2F0
aW9uPjxyZWYtdHlwZSBuYW1lPSJCb29rIj42PC9yZWYtdHlwZT48ZGF0ZXM+PHllYXI+MTk1ODwv
eWVhcj48L2RhdGVzPjxyZWMtbnVtYmVyPjE0NDwvcmVjLW51bWJlcj48cHVibGlzaGVyPlJvdXRs
ZWRnZSAmYW1wOyBLZWdhbiBQYXVsPC9wdWJsaXNoZXI+PGxhc3QtdXBkYXRlZC1kYXRlIGZvcm1h
dD0idXRjIj4xNTYwOTU0Mjk5PC9sYXN0LXVwZGF0ZWQtZGF0ZT48L3JlY29yZD48L0NpdGU+PENp
dGU+PEF1dGhvcj5Ecml2ZXI8L0F1dGhvcj48WWVhcj4xOTk0PC9ZZWFyPjxJRFRleHQ+TWFraW5n
IFNlbnNlIG9mIFNlY29uZGFyeSBTY2llbmNlOiBSZXNlYXJjaCBpbnRvIENoaWxkcmVuJmFwb3M7
cyBJZGVhczwvSURUZXh0PjxyZWNvcmQ+PGlzYm4+OTcwNDE1MDk3NjU5PC9pc2JuPjx0aXRsZXM+
PHRpdGxlPk1ha2luZyBTZW5zZSBvZiBTZWNvbmRhcnkgU2NpZW5jZTogUmVzZWFyY2ggaW50byBD
aGlsZHJlbiZhcG9zO3MgSWRlYXM8L3RpdGxlPjwvdGl0bGVzPjxjb250cmlidXRvcnM+PGF1dGhv
cnM+PGF1dGhvcj5Ecml2ZXIsIFJvc2FsaW5kPC9hdXRob3I+PGF1dGhvcj5TcXVpcmVzLCBBbm48
L2F1dGhvcj48YXV0aG9yPlJ1c2h3b3J0aCwgUGV0ZXI8L2F1dGhvcj48YXV0aG9yPldvb2QtUm9i
aW5zb24sIFZhbGVyaWU8L2F1dGhvcj48L2F1dGhvcnM+PC9jb250cmlidXRvcnM+PGFkZGVkLWRh
dGUgZm9ybWF0PSJ1dGMiPjE1Mjg5ODQ2ODQ8L2FkZGVkLWRhdGU+PHB1Yi1sb2NhdGlvbj5Mb25k
b24sIFVLPC9wdWItbG9jYXRpb24+PHJlZi10eXBlIG5hbWU9IkJvb2siPjY8L3JlZi10eXBlPjxk
YXRlcz48eWVhcj4xOTk0PC95ZWFyPjwvZGF0ZXM+PHJlYy1udW1iZXI+ODQwMzwvcmVjLW51bWJl
cj48cHVibGlzaGVyPlJvdXRsZWRnZTwvcHVibGlzaGVyPjxsYXN0LXVwZGF0ZWQtZGF0ZSBmb3Jt
YXQ9InV0YyI+MTUzMDEyMzMwNzwvbGFzdC11cGRhdGVkLWRhdGU+PC9yZWNvcmQ+PC9DaXRlPjxD
aXRlPjxBdXRob3I+SW5zdGl0dXRlIG9mIFBoeXNpY3M8L0F1dGhvcj48SURUZXh0PlN1cHBvcnRp
bmcgUGh5c2ljcyBUZWFjaGluZyAxMS0xNDogTWFjaGluZXMsIExldmVyczwvSURUZXh0PjxyZWNv
cmQ+PHVybHM+PHJlbGF0ZWQtdXJscz48dXJsPmh0dHA6Ly9zdXBwb3J0aW5ncGh5c2ljc3RlYWNo
aW5nLm5ldC9NYUhvbWUuaHRtbDwvdXJsPjwvcmVsYXRlZC11cmxzPjwvdXJscz48dGl0bGVzPjx0
aXRsZT5TdXBwb3J0aW5nIFBoeXNpY3MgVGVhY2hpbmcgMTEtMTQ6IE1hY2hpbmVzLCBMZXZlcnM8
L3RpdGxlPjwvdGl0bGVzPjxudW1iZXI+SnVuZSAyMDE5PC9udW1iZXI+PGNvbnRyaWJ1dG9ycz48
YXV0aG9ycz48YXV0aG9yPkluc3RpdHV0ZSBvZiBQaHlzaWNzLDwvYXV0aG9yPjwvYXV0aG9ycz48
L2NvbnRyaWJ1dG9ycz48YWRkZWQtZGF0ZSBmb3JtYXQ9InV0YyI+MTU2MDk1NDQ1OTwvYWRkZWQt
ZGF0ZT48cmVmLXR5cGUgbmFtZT0iV2ViIFBhZ2UiPjEyPC9yZWYtdHlwZT48cmVjLW51bWJlcj4x
NDU8L3JlYy1udW1iZXI+PGxhc3QtdXBkYXRlZC1kYXRlIGZvcm1hdD0idXRjIj4xNTYwOTU0Nzg2
PC9sYXN0LXVwZGF0ZWQtZGF0ZT48L3JlY29yZD48L0NpdGU+PC9FbmROb3RlPn==
</w:fldData>
        </w:fldChar>
      </w:r>
      <w:r>
        <w:instrText xml:space="preserve"> ADDIN EN.CITE </w:instrText>
      </w:r>
      <w:r>
        <w:fldChar w:fldCharType="begin">
          <w:fldData xml:space="preserve">PEVuZE5vdGU+PENpdGU+PEF1dGhvcj5JbmhlbGRlcjwvQXV0aG9yPjxZZWFyPjE5NTg8L1llYXI+
PElEVGV4dD5UaGUgR3Jvd3RoIG9mIExvZ2ljYWwgVGhpbmtpbmcgZnJvbSBDaGlsZGhvb2QgdG8g
QWRvbGVzY2VuY2U8L0lEVGV4dD48RGlzcGxheVRleHQ+KEluaGVsZGVyIGFuZCBQaWFnZXQsIDE5
NTg7IERyaXZlciBldCBhbC4sIDE5OTRhOyBJbnN0aXR1dGUgb2YgUGh5c2ljcyk8L0Rpc3BsYXlU
ZXh0PjxyZWNvcmQ+PHRpdGxlcz48dGl0bGU+VGhlIEdyb3d0aCBvZiBMb2dpY2FsIFRoaW5raW5n
IGZyb20gQ2hpbGRob29kIHRvIEFkb2xlc2NlbmNlPC90aXRsZT48L3RpdGxlcz48Y29udHJpYnV0
b3JzPjxhdXRob3JzPjxhdXRob3I+SW5oZWxkZXIsIEI8L2F1dGhvcj48YXV0aG9yPlBpYWdldCwg
SjwvYXV0aG9yPjwvYXV0aG9ycz48L2NvbnRyaWJ1dG9ycz48YWRkZWQtZGF0ZSBmb3JtYXQ9InV0
YyI+MTU2MDk1NDIzMTwvYWRkZWQtZGF0ZT48cHViLWxvY2F0aW9uPkxvbmRvbjwvcHViLWxvY2F0
aW9uPjxyZWYtdHlwZSBuYW1lPSJCb29rIj42PC9yZWYtdHlwZT48ZGF0ZXM+PHllYXI+MTk1ODwv
eWVhcj48L2RhdGVzPjxyZWMtbnVtYmVyPjE0NDwvcmVjLW51bWJlcj48cHVibGlzaGVyPlJvdXRs
ZWRnZSAmYW1wOyBLZWdhbiBQYXVsPC9wdWJsaXNoZXI+PGxhc3QtdXBkYXRlZC1kYXRlIGZvcm1h
dD0idXRjIj4xNTYwOTU0Mjk5PC9sYXN0LXVwZGF0ZWQtZGF0ZT48L3JlY29yZD48L0NpdGU+PENp
dGU+PEF1dGhvcj5Ecml2ZXI8L0F1dGhvcj48WWVhcj4xOTk0PC9ZZWFyPjxJRFRleHQ+TWFraW5n
IFNlbnNlIG9mIFNlY29uZGFyeSBTY2llbmNlOiBSZXNlYXJjaCBpbnRvIENoaWxkcmVuJmFwb3M7
cyBJZGVhczwvSURUZXh0PjxyZWNvcmQ+PGlzYm4+OTcwNDE1MDk3NjU5PC9pc2JuPjx0aXRsZXM+
PHRpdGxlPk1ha2luZyBTZW5zZSBvZiBTZWNvbmRhcnkgU2NpZW5jZTogUmVzZWFyY2ggaW50byBD
aGlsZHJlbiZhcG9zO3MgSWRlYXM8L3RpdGxlPjwvdGl0bGVzPjxjb250cmlidXRvcnM+PGF1dGhv
cnM+PGF1dGhvcj5Ecml2ZXIsIFJvc2FsaW5kPC9hdXRob3I+PGF1dGhvcj5TcXVpcmVzLCBBbm48
L2F1dGhvcj48YXV0aG9yPlJ1c2h3b3J0aCwgUGV0ZXI8L2F1dGhvcj48YXV0aG9yPldvb2QtUm9i
aW5zb24sIFZhbGVyaWU8L2F1dGhvcj48L2F1dGhvcnM+PC9jb250cmlidXRvcnM+PGFkZGVkLWRh
dGUgZm9ybWF0PSJ1dGMiPjE1Mjg5ODQ2ODQ8L2FkZGVkLWRhdGU+PHB1Yi1sb2NhdGlvbj5Mb25k
b24sIFVLPC9wdWItbG9jYXRpb24+PHJlZi10eXBlIG5hbWU9IkJvb2siPjY8L3JlZi10eXBlPjxk
YXRlcz48eWVhcj4xOTk0PC95ZWFyPjwvZGF0ZXM+PHJlYy1udW1iZXI+ODQwMzwvcmVjLW51bWJl
cj48cHVibGlzaGVyPlJvdXRsZWRnZTwvcHVibGlzaGVyPjxsYXN0LXVwZGF0ZWQtZGF0ZSBmb3Jt
YXQ9InV0YyI+MTUzMDEyMzMwNzwvbGFzdC11cGRhdGVkLWRhdGU+PC9yZWNvcmQ+PC9DaXRlPjxD
aXRlPjxBdXRob3I+SW5zdGl0dXRlIG9mIFBoeXNpY3M8L0F1dGhvcj48SURUZXh0PlN1cHBvcnRp
bmcgUGh5c2ljcyBUZWFjaGluZyAxMS0xNDogTWFjaGluZXMsIExldmVyczwvSURUZXh0PjxyZWNv
cmQ+PHVybHM+PHJlbGF0ZWQtdXJscz48dXJsPmh0dHA6Ly9zdXBwb3J0aW5ncGh5c2ljc3RlYWNo
aW5nLm5ldC9NYUhvbWUuaHRtbDwvdXJsPjwvcmVsYXRlZC11cmxzPjwvdXJscz48dGl0bGVzPjx0
aXRsZT5TdXBwb3J0aW5nIFBoeXNpY3MgVGVhY2hpbmcgMTEtMTQ6IE1hY2hpbmVzLCBMZXZlcnM8
L3RpdGxlPjwvdGl0bGVzPjxudW1iZXI+SnVuZSAyMDE5PC9udW1iZXI+PGNvbnRyaWJ1dG9ycz48
YXV0aG9ycz48YXV0aG9yPkluc3RpdHV0ZSBvZiBQaHlzaWNzLDwvYXV0aG9yPjwvYXV0aG9ycz48
L2NvbnRyaWJ1dG9ycz48YWRkZWQtZGF0ZSBmb3JtYXQ9InV0YyI+MTU2MDk1NDQ1OTwvYWRkZWQt
ZGF0ZT48cmVmLXR5cGUgbmFtZT0iV2ViIFBhZ2UiPjEyPC9yZWYtdHlwZT48cmVjLW51bWJlcj4x
NDU8L3JlYy1udW1iZXI+PGxhc3QtdXBkYXRlZC1kYXRlIGZvcm1hdD0idXRjIj4xNTYwOTU0Nzg2
PC9sYXN0LXVwZGF0ZWQtZGF0ZT48L3JlY29yZD48L0NpdGU+PC9FbmROb3RlPn==
</w:fldData>
        </w:fldChar>
      </w:r>
      <w:r>
        <w:instrText xml:space="preserve"> ADDIN EN.CITE.DATA </w:instrText>
      </w:r>
      <w:r>
        <w:fldChar w:fldCharType="end"/>
      </w:r>
      <w:r>
        <w:fldChar w:fldCharType="separate"/>
      </w:r>
      <w:r>
        <w:rPr>
          <w:noProof/>
        </w:rPr>
        <w:t>(Inhelder and Piaget, 1958; Driver et al., 1994a; Institute of Physics)</w:t>
      </w:r>
      <w:r>
        <w:fldChar w:fldCharType="end"/>
      </w:r>
      <w:r>
        <w:t xml:space="preserve">. In England students investigate levers as force multipliers at age 9-10 </w:t>
      </w:r>
      <w:r>
        <w:fldChar w:fldCharType="begin"/>
      </w:r>
      <w:r>
        <w:instrText xml:space="preserve"> ADDIN EN.CITE &lt;EndNote&gt;&lt;Cite&gt;&lt;Author&gt;Department for Education&lt;/Author&gt;&lt;Year&gt;2013&lt;/Year&gt;&lt;IDText&gt;Science programmes of study: key stages 1 and 2 - National curriculum in England (DFE-00182-2013)&lt;/IDText&gt;&lt;DisplayText&gt;(Department for Education, 2013)&lt;/DisplayText&gt;&lt;record&gt;&lt;isbn&gt;DFE-00182-2013&lt;/isbn&gt;&lt;titles&gt;&lt;title&gt;Science programmes of study: key stages 1 and 2 - National curriculum in England (DFE-00182-2013)&lt;/title&gt;&lt;/titles&gt;&lt;contributors&gt;&lt;authors&gt;&lt;author&gt;Department for Education,&lt;/author&gt;&lt;/authors&gt;&lt;/contributors&gt;&lt;added-date format="utc"&gt;1491834873&lt;/added-date&gt;&lt;pub-location&gt;London, UK&lt;/pub-location&gt;&lt;ref-type name="Book"&gt;6&lt;/ref-type&gt;&lt;dates&gt;&lt;year&gt;2013&lt;/year&gt;&lt;/dates&gt;&lt;rec-number&gt;23&lt;/rec-number&gt;&lt;last-updated-date format="utc"&gt;1544471901&lt;/last-updated-date&gt;&lt;/record&gt;&lt;/Cite&gt;&lt;/EndNote&gt;</w:instrText>
      </w:r>
      <w:r>
        <w:fldChar w:fldCharType="separate"/>
      </w:r>
      <w:r>
        <w:rPr>
          <w:noProof/>
        </w:rPr>
        <w:t>(Department for Education, 2013)</w:t>
      </w:r>
      <w:r>
        <w:fldChar w:fldCharType="end"/>
      </w:r>
      <w:r>
        <w:t xml:space="preserve">; before progressing they need to be able to put into words their intuitive understanding that an effort further from a pivot leads to a bigger turning effect </w:t>
      </w:r>
      <w:r>
        <w:fldChar w:fldCharType="begin"/>
      </w:r>
      <w:r>
        <w:instrText xml:space="preserve"> ADDIN EN.CITE &lt;EndNote&gt;&lt;Cite&gt;&lt;Author&gt;Driver&lt;/Author&gt;&lt;Year&gt;1994&lt;/Year&gt;&lt;IDText&gt;Making Sense of Secondary Science: Support Materials for Teachers&lt;/IDText&gt;&lt;DisplayText&gt;(Driver et al., 1994b)&lt;/DisplayText&gt;&lt;record&gt;&lt;titles&gt;&lt;title&gt;Making Sense of Secondary Science: Support Materials for Teachers&lt;/title&gt;&lt;/titles&gt;&lt;contributors&gt;&lt;authors&gt;&lt;author&gt;Driver, Rosalind&lt;/author&gt;&lt;author&gt;Squires, Ann&lt;/author&gt;&lt;author&gt;Rushworth, Peter&lt;/author&gt;&lt;author&gt;Wood-Robinson, Valerie&lt;/author&gt;&lt;/authors&gt;&lt;/contributors&gt;&lt;added-date format="utc"&gt;1548240624&lt;/added-date&gt;&lt;pub-location&gt;London&lt;/pub-location&gt;&lt;ref-type name="Book"&gt;6&lt;/ref-type&gt;&lt;dates&gt;&lt;year&gt;1994&lt;/year&gt;&lt;/dates&gt;&lt;rec-number&gt;80&lt;/rec-number&gt;&lt;publisher&gt;Routledge&lt;/publisher&gt;&lt;last-updated-date format="utc"&gt;1548240724&lt;/last-updated-date&gt;&lt;/record&gt;&lt;/Cite&gt;&lt;/EndNote&gt;</w:instrText>
      </w:r>
      <w:r>
        <w:fldChar w:fldCharType="separate"/>
      </w:r>
      <w:r>
        <w:rPr>
          <w:noProof/>
        </w:rPr>
        <w:t>(Driver et al., 1994b)</w:t>
      </w:r>
      <w:r>
        <w:fldChar w:fldCharType="end"/>
      </w:r>
      <w:r>
        <w:t>. Driver et al. also point out that building understanding of turning effects from students’ intuition is more effective than limiting teaching to arithmetic manipulation of the formula: moment = force x perpendicular distance from the pivot.</w:t>
      </w:r>
    </w:p>
    <w:p w:rsidR="005E2995" w:rsidRDefault="005E2995" w:rsidP="005E2995">
      <w:pPr>
        <w:spacing w:after="180"/>
      </w:pPr>
      <w:r>
        <w:t xml:space="preserve">When teaching, it may be helpful not to use the term ‘moment’ to describe turning effects because students often associate the term with ‘time’, or confuse it with ‘movement’. Using ‘turning effect’ can be less problematic </w:t>
      </w:r>
      <w:r>
        <w:fldChar w:fldCharType="begin"/>
      </w:r>
      <w:r w:rsidR="00CE7507">
        <w:instrText xml:space="preserve"> ADDIN EN.CITE &lt;EndNote&gt;&lt;Cite&gt;&lt;Author&gt;Driver&lt;/Author&gt;&lt;Year&gt;1994&lt;/Year&gt;&lt;IDText&gt;Making Sense of Secondary Science: Support Materials for Teachers&lt;/IDText&gt;&lt;DisplayText&gt;(Driver et al., 1994b)&lt;/DisplayText&gt;&lt;record&gt;&lt;titles&gt;&lt;title&gt;Making Sense of Secondary Science: Support Materials for Teachers&lt;/title&gt;&lt;/titles&gt;&lt;contributors&gt;&lt;authors&gt;&lt;author&gt;Driver, Rosalind&lt;/author&gt;&lt;author&gt;Squires, Ann&lt;/author&gt;&lt;author&gt;Rushworth, Peter&lt;/author&gt;&lt;author&gt;Wood-Robinson, Valerie&lt;/author&gt;&lt;/authors&gt;&lt;/contributors&gt;&lt;added-date format="utc"&gt;1548240624&lt;/added-date&gt;&lt;pub-location&gt;London&lt;/pub-location&gt;&lt;ref-type name="Book"&gt;6&lt;/ref-type&gt;&lt;dates&gt;&lt;year&gt;1994&lt;/year&gt;&lt;/dates&gt;&lt;rec-number&gt;80&lt;/rec-number&gt;&lt;publisher&gt;Routledge&lt;/publisher&gt;&lt;last-updated-date format="utc"&gt;1548240724&lt;/last-updated-date&gt;&lt;/record&gt;&lt;/Cite&gt;&lt;Cite&gt;&lt;Author&gt;Driver&lt;/Author&gt;&lt;Year&gt;1994&lt;/Year&gt;&lt;IDText&gt;Making Sense of Secondary Science: Support Materials for Teachers&lt;/IDText&gt;&lt;record&gt;&lt;titles&gt;&lt;title&gt;Making Sense of Secondary Science: Support Materials for Teachers&lt;/title&gt;&lt;/titles&gt;&lt;contributors&gt;&lt;authors&gt;&lt;author&gt;Driver, Rosalind&lt;/author&gt;&lt;author&gt;Squires, Ann&lt;/author&gt;&lt;author&gt;Rushworth, Peter&lt;/author&gt;&lt;author&gt;Wood-Robinson, Valerie&lt;/author&gt;&lt;/authors&gt;&lt;/contributors&gt;&lt;added-date format="utc"&gt;1548240624&lt;/added-date&gt;&lt;pub-location&gt;London&lt;/pub-location&gt;&lt;ref-type name="Book"&gt;6&lt;/ref-type&gt;&lt;dates&gt;&lt;year&gt;1994&lt;/year&gt;&lt;/dates&gt;&lt;rec-number&gt;80&lt;/rec-number&gt;&lt;publisher&gt;Routledge&lt;/publisher&gt;&lt;last-updated-date format="utc"&gt;1548240724&lt;/last-updated-date&gt;&lt;/record&gt;&lt;/Cite&gt;&lt;/EndNote&gt;</w:instrText>
      </w:r>
      <w:r>
        <w:fldChar w:fldCharType="separate"/>
      </w:r>
      <w:r w:rsidR="00CE7507">
        <w:rPr>
          <w:noProof/>
        </w:rPr>
        <w:t>(Driver et al., 1994b)</w:t>
      </w:r>
      <w:r>
        <w:fldChar w:fldCharType="end"/>
      </w:r>
      <w:r>
        <w:t>.</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7B18B8" w:rsidRPr="00AE7928" w:rsidRDefault="007B18B8" w:rsidP="007B18B8">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rsidR="007B18B8" w:rsidRDefault="007B18B8" w:rsidP="007B18B8">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rsidR="007B18B8" w:rsidRPr="00816065" w:rsidRDefault="007B18B8" w:rsidP="007B18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5E2995" w:rsidRDefault="005E2995" w:rsidP="007B18B8">
      <w:pPr>
        <w:spacing w:after="180"/>
        <w:rPr>
          <w:rFonts w:cstheme="minorHAnsi"/>
          <w:i/>
        </w:rPr>
      </w:pPr>
    </w:p>
    <w:p w:rsidR="007B18B8" w:rsidRDefault="007B18B8" w:rsidP="007B18B8">
      <w:pPr>
        <w:spacing w:after="180"/>
        <w:rPr>
          <w:rFonts w:cstheme="minorHAnsi"/>
          <w:i/>
        </w:rPr>
      </w:pPr>
      <w:r w:rsidRPr="00AE7928">
        <w:rPr>
          <w:rFonts w:cstheme="minorHAnsi"/>
          <w:i/>
        </w:rPr>
        <w:t>Differentiation</w:t>
      </w:r>
    </w:p>
    <w:p w:rsidR="007B18B8" w:rsidRPr="00AE7928" w:rsidRDefault="007B18B8" w:rsidP="007B18B8">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5E2995" w:rsidP="005E2995">
      <w:pPr>
        <w:spacing w:after="180"/>
        <w:ind w:left="426" w:hanging="426"/>
      </w:pPr>
      <w:proofErr w:type="gramStart"/>
      <w:r w:rsidRPr="005E2995">
        <w:rPr>
          <w:b/>
        </w:rPr>
        <w:t>A</w:t>
      </w:r>
      <w:r>
        <w:tab/>
        <w:t>The</w:t>
      </w:r>
      <w:proofErr w:type="gramEnd"/>
      <w:r>
        <w:t xml:space="preserve"> one on jar X.</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5E2995" w:rsidRDefault="005E2995" w:rsidP="005E2995">
      <w:pPr>
        <w:spacing w:after="180"/>
      </w:pPr>
      <w:r>
        <w:t>Twisting lids off is a less obvious situation in which force is applied at a distance from a pivot in order to turn an object.</w:t>
      </w:r>
    </w:p>
    <w:p w:rsidR="005E2995" w:rsidRPr="00817AF3" w:rsidRDefault="005E2995" w:rsidP="005E2995">
      <w:pPr>
        <w:spacing w:after="180"/>
      </w:pPr>
      <w:r w:rsidRPr="00817AF3">
        <w:t>M</w:t>
      </w:r>
      <w:r>
        <w:t>any</w:t>
      </w:r>
      <w:r w:rsidRPr="00817AF3">
        <w:t xml:space="preserve"> students</w:t>
      </w:r>
      <w:r>
        <w:t xml:space="preserve"> may realise that the jar with the larger lid is easier to open through experience, but this is not especially obvious and it is not likely that many are able to put the reasons for this clearly into their own word.</w:t>
      </w:r>
    </w:p>
    <w:p w:rsidR="005E2995" w:rsidRPr="00A6111E" w:rsidRDefault="005E2995" w:rsidP="005E2995">
      <w:pPr>
        <w:spacing w:after="180"/>
      </w:pPr>
      <w:r w:rsidRPr="004F039C">
        <w:t xml:space="preserve">If students have </w:t>
      </w:r>
      <w:r>
        <w:t>difficulty in describing that it is easier to open a jar with a bigger lid because force is applied further from the pivot</w:t>
      </w:r>
      <w:r w:rsidRPr="004F039C">
        <w:t xml:space="preserve">, </w:t>
      </w:r>
      <w:r>
        <w:t xml:space="preserve">it can help to investigate what is happening using similar examples. A relatively easy one to try is to turn a door lever </w:t>
      </w:r>
      <w:r w:rsidR="00AD26BF">
        <w:t xml:space="preserve">(handle) </w:t>
      </w:r>
      <w:r>
        <w:t>close to the pivot and then further from the pivot</w:t>
      </w:r>
      <w:r w:rsidR="00AD26BF">
        <w:t>,</w:t>
      </w:r>
      <w:r>
        <w:t xml:space="preserve"> to notice the difference in force needed. This idea can be extended to thinking about door knobs, and perhaps to discussing why door levers are often fitted to doors of the elderly or infirm (because they require less force to turn).</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CE7507">
        <w:t>.</w:t>
      </w:r>
    </w:p>
    <w:p w:rsidR="00CC78A5" w:rsidRDefault="00D278E8" w:rsidP="00E172C6">
      <w:pPr>
        <w:spacing w:after="180"/>
      </w:pPr>
      <w:r w:rsidRPr="0045323E">
        <w:t xml:space="preserve">Images: </w:t>
      </w:r>
      <w:r w:rsidR="007D536F">
        <w:t>Peter Fairhurst (UYSEG)</w:t>
      </w:r>
      <w:r w:rsidR="00CE7507">
        <w:t>.</w:t>
      </w:r>
      <w:bookmarkStart w:id="0" w:name="_GoBack"/>
      <w:bookmarkEnd w:id="0"/>
    </w:p>
    <w:p w:rsidR="00CE7507" w:rsidRDefault="003117F6" w:rsidP="00E24309">
      <w:pPr>
        <w:spacing w:after="180"/>
        <w:rPr>
          <w:b/>
          <w:color w:val="5F497A" w:themeColor="accent4" w:themeShade="BF"/>
          <w:sz w:val="24"/>
        </w:rPr>
      </w:pPr>
      <w:r w:rsidRPr="002C79AE">
        <w:rPr>
          <w:b/>
          <w:color w:val="5F497A" w:themeColor="accent4" w:themeShade="BF"/>
          <w:sz w:val="24"/>
        </w:rPr>
        <w:t>References</w:t>
      </w:r>
    </w:p>
    <w:p w:rsidR="00CE7507" w:rsidRPr="00CE7507" w:rsidRDefault="00CE7507" w:rsidP="00AD26BF">
      <w:pPr>
        <w:pStyle w:val="EndNoteBibliography"/>
        <w:spacing w:after="120"/>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CE7507">
        <w:t xml:space="preserve">Department for Education (2013). </w:t>
      </w:r>
      <w:r w:rsidRPr="00CE7507">
        <w:rPr>
          <w:i/>
        </w:rPr>
        <w:t xml:space="preserve">Science programmes of study: key stages 1 and 2 - National curriculum in England (DFE-00182-2013), </w:t>
      </w:r>
      <w:r w:rsidRPr="00CE7507">
        <w:t>London, UK.</w:t>
      </w:r>
    </w:p>
    <w:p w:rsidR="00CE7507" w:rsidRPr="00CE7507" w:rsidRDefault="00CE7507" w:rsidP="00AD26BF">
      <w:pPr>
        <w:pStyle w:val="EndNoteBibliography"/>
        <w:spacing w:after="120"/>
        <w:ind w:left="426" w:hanging="426"/>
      </w:pPr>
      <w:r w:rsidRPr="00CE7507">
        <w:t xml:space="preserve">Driver, R., et al. (1994a). </w:t>
      </w:r>
      <w:r w:rsidRPr="00CE7507">
        <w:rPr>
          <w:i/>
        </w:rPr>
        <w:t xml:space="preserve">Making Sense of Secondary Science: Research into Children's Ideas, </w:t>
      </w:r>
      <w:r w:rsidRPr="00CE7507">
        <w:t>London, UK: Routledge.</w:t>
      </w:r>
    </w:p>
    <w:p w:rsidR="00CE7507" w:rsidRPr="00CE7507" w:rsidRDefault="00CE7507" w:rsidP="00AD26BF">
      <w:pPr>
        <w:pStyle w:val="EndNoteBibliography"/>
        <w:spacing w:after="120"/>
        <w:ind w:left="426" w:hanging="426"/>
      </w:pPr>
      <w:r w:rsidRPr="00CE7507">
        <w:t xml:space="preserve">Driver, R., et al. (1994b). </w:t>
      </w:r>
      <w:r w:rsidRPr="00CE7507">
        <w:rPr>
          <w:i/>
        </w:rPr>
        <w:t xml:space="preserve">Making Sense of Secondary Science: Support Materials for Teachers, </w:t>
      </w:r>
      <w:r w:rsidRPr="00CE7507">
        <w:t>London: Routledge.</w:t>
      </w:r>
    </w:p>
    <w:p w:rsidR="00CE7507" w:rsidRPr="00CE7507" w:rsidRDefault="00CE7507" w:rsidP="00AD26BF">
      <w:pPr>
        <w:pStyle w:val="EndNoteBibliography"/>
        <w:spacing w:after="120"/>
        <w:ind w:left="426" w:hanging="426"/>
      </w:pPr>
      <w:r w:rsidRPr="00CE7507">
        <w:t xml:space="preserve">Inhelder, B. and Piaget, J. (1958). </w:t>
      </w:r>
      <w:r w:rsidRPr="00CE7507">
        <w:rPr>
          <w:i/>
        </w:rPr>
        <w:t xml:space="preserve">The Growth of Logical Thinking from Childhood to Adolescence, </w:t>
      </w:r>
      <w:r w:rsidRPr="00CE7507">
        <w:t>London: Routledge &amp; Kegan Paul.</w:t>
      </w:r>
    </w:p>
    <w:p w:rsidR="00CE7507" w:rsidRPr="00CE7507" w:rsidRDefault="00CE7507" w:rsidP="00AD26BF">
      <w:pPr>
        <w:pStyle w:val="EndNoteBibliography"/>
        <w:spacing w:after="120"/>
        <w:ind w:left="426" w:hanging="426"/>
      </w:pPr>
      <w:r w:rsidRPr="00CE7507">
        <w:t xml:space="preserve">Institute of Physics. </w:t>
      </w:r>
      <w:r w:rsidRPr="00CE7507">
        <w:rPr>
          <w:i/>
        </w:rPr>
        <w:t xml:space="preserve">Supporting Physics Teaching 11-14: Machines, Levers </w:t>
      </w:r>
      <w:r w:rsidRPr="00CE7507">
        <w:t xml:space="preserve">[Online]. Available at: </w:t>
      </w:r>
      <w:hyperlink r:id="rId10" w:history="1">
        <w:r w:rsidRPr="00CE7507">
          <w:rPr>
            <w:rStyle w:val="Hyperlink"/>
          </w:rPr>
          <w:t>http://supportingphysicsteaching.net/MaHome.html</w:t>
        </w:r>
      </w:hyperlink>
      <w:r w:rsidRPr="00CE7507">
        <w:t xml:space="preserve"> [Accessed June 2019.</w:t>
      </w:r>
    </w:p>
    <w:p w:rsidR="00B46FF9" w:rsidRDefault="00CE7507" w:rsidP="00AD26BF">
      <w:pPr>
        <w:spacing w:after="120"/>
        <w:ind w:left="426" w:hanging="426"/>
        <w:rPr>
          <w:b/>
          <w:color w:val="5F497A" w:themeColor="accent4" w:themeShade="BF"/>
          <w:sz w:val="24"/>
        </w:rPr>
      </w:pPr>
      <w:r>
        <w:rPr>
          <w:b/>
          <w:color w:val="5F497A" w:themeColor="accent4" w:themeShade="BF"/>
          <w:sz w:val="24"/>
        </w:rPr>
        <w:fldChar w:fldCharType="end"/>
      </w:r>
    </w:p>
    <w:sectPr w:rsidR="00B46FF9"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2A4F" w:rsidRDefault="00B72A4F" w:rsidP="000B473B">
      <w:r>
        <w:separator/>
      </w:r>
    </w:p>
  </w:endnote>
  <w:endnote w:type="continuationSeparator" w:id="0">
    <w:p w:rsidR="00B72A4F" w:rsidRDefault="00B72A4F"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4077B83"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AD26BF">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2A4F" w:rsidRDefault="00B72A4F" w:rsidP="000B473B">
      <w:r>
        <w:separator/>
      </w:r>
    </w:p>
  </w:footnote>
  <w:footnote w:type="continuationSeparator" w:id="0">
    <w:p w:rsidR="00B72A4F" w:rsidRDefault="00B72A4F"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DB2BB58"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FE1571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B72A4F"/>
    <w:rsid w:val="00015578"/>
    <w:rsid w:val="00024731"/>
    <w:rsid w:val="00026DEC"/>
    <w:rsid w:val="000505CA"/>
    <w:rsid w:val="0007651D"/>
    <w:rsid w:val="0009089A"/>
    <w:rsid w:val="000947E2"/>
    <w:rsid w:val="00095E04"/>
    <w:rsid w:val="000A0D12"/>
    <w:rsid w:val="000B473B"/>
    <w:rsid w:val="000D0E89"/>
    <w:rsid w:val="000E2689"/>
    <w:rsid w:val="00142613"/>
    <w:rsid w:val="00144DA7"/>
    <w:rsid w:val="0015356E"/>
    <w:rsid w:val="00161D3F"/>
    <w:rsid w:val="001915D4"/>
    <w:rsid w:val="001A1FED"/>
    <w:rsid w:val="001A40E2"/>
    <w:rsid w:val="001B7C42"/>
    <w:rsid w:val="001C4805"/>
    <w:rsid w:val="00201AC2"/>
    <w:rsid w:val="00214608"/>
    <w:rsid w:val="0021607B"/>
    <w:rsid w:val="002178AC"/>
    <w:rsid w:val="0022547C"/>
    <w:rsid w:val="0025410A"/>
    <w:rsid w:val="0027553E"/>
    <w:rsid w:val="0028012F"/>
    <w:rsid w:val="002828DF"/>
    <w:rsid w:val="00287876"/>
    <w:rsid w:val="00292C53"/>
    <w:rsid w:val="00294E22"/>
    <w:rsid w:val="002B5D71"/>
    <w:rsid w:val="002C22EA"/>
    <w:rsid w:val="002C59BA"/>
    <w:rsid w:val="002C79AE"/>
    <w:rsid w:val="00301AA9"/>
    <w:rsid w:val="003117F6"/>
    <w:rsid w:val="003334B8"/>
    <w:rsid w:val="003533B8"/>
    <w:rsid w:val="003752BE"/>
    <w:rsid w:val="003A346A"/>
    <w:rsid w:val="003B2917"/>
    <w:rsid w:val="003B541B"/>
    <w:rsid w:val="003E2B2F"/>
    <w:rsid w:val="003E6046"/>
    <w:rsid w:val="003F16F9"/>
    <w:rsid w:val="00430C1F"/>
    <w:rsid w:val="00442595"/>
    <w:rsid w:val="0045323E"/>
    <w:rsid w:val="004B0EE1"/>
    <w:rsid w:val="004B1C32"/>
    <w:rsid w:val="004C5D20"/>
    <w:rsid w:val="004D0D83"/>
    <w:rsid w:val="004E1DF1"/>
    <w:rsid w:val="004E5592"/>
    <w:rsid w:val="0050055B"/>
    <w:rsid w:val="00524710"/>
    <w:rsid w:val="00535269"/>
    <w:rsid w:val="00555342"/>
    <w:rsid w:val="005560E2"/>
    <w:rsid w:val="005A452E"/>
    <w:rsid w:val="005A6EE7"/>
    <w:rsid w:val="005E2995"/>
    <w:rsid w:val="005F1A7B"/>
    <w:rsid w:val="006355D8"/>
    <w:rsid w:val="00642ECD"/>
    <w:rsid w:val="006502A0"/>
    <w:rsid w:val="006772F5"/>
    <w:rsid w:val="006A4440"/>
    <w:rsid w:val="006B0615"/>
    <w:rsid w:val="006D166B"/>
    <w:rsid w:val="006F3279"/>
    <w:rsid w:val="00704AEE"/>
    <w:rsid w:val="00722F9A"/>
    <w:rsid w:val="00754539"/>
    <w:rsid w:val="0077646D"/>
    <w:rsid w:val="00781BC6"/>
    <w:rsid w:val="007A3C86"/>
    <w:rsid w:val="007A683E"/>
    <w:rsid w:val="007A748B"/>
    <w:rsid w:val="007B18B8"/>
    <w:rsid w:val="007C26E1"/>
    <w:rsid w:val="007D1D65"/>
    <w:rsid w:val="007D536F"/>
    <w:rsid w:val="007E0A9E"/>
    <w:rsid w:val="007E5309"/>
    <w:rsid w:val="00800DE1"/>
    <w:rsid w:val="00813F47"/>
    <w:rsid w:val="008450D6"/>
    <w:rsid w:val="00856FCA"/>
    <w:rsid w:val="00873B8C"/>
    <w:rsid w:val="00880E3B"/>
    <w:rsid w:val="008A405F"/>
    <w:rsid w:val="008C7F34"/>
    <w:rsid w:val="008E580C"/>
    <w:rsid w:val="0090047A"/>
    <w:rsid w:val="00925026"/>
    <w:rsid w:val="00931264"/>
    <w:rsid w:val="00942A4B"/>
    <w:rsid w:val="00961D59"/>
    <w:rsid w:val="009B2D55"/>
    <w:rsid w:val="009C0343"/>
    <w:rsid w:val="009E0D11"/>
    <w:rsid w:val="009F2253"/>
    <w:rsid w:val="00A01222"/>
    <w:rsid w:val="00A24A16"/>
    <w:rsid w:val="00A37D14"/>
    <w:rsid w:val="00A6111E"/>
    <w:rsid w:val="00A6168B"/>
    <w:rsid w:val="00A62028"/>
    <w:rsid w:val="00AA5B77"/>
    <w:rsid w:val="00AA6236"/>
    <w:rsid w:val="00AB6AE7"/>
    <w:rsid w:val="00AD21F5"/>
    <w:rsid w:val="00AD26BF"/>
    <w:rsid w:val="00B06225"/>
    <w:rsid w:val="00B23C7A"/>
    <w:rsid w:val="00B305F5"/>
    <w:rsid w:val="00B46FF9"/>
    <w:rsid w:val="00B47E1D"/>
    <w:rsid w:val="00B72A4F"/>
    <w:rsid w:val="00B75483"/>
    <w:rsid w:val="00BA7952"/>
    <w:rsid w:val="00BB44B4"/>
    <w:rsid w:val="00BF0BBF"/>
    <w:rsid w:val="00BF6C8A"/>
    <w:rsid w:val="00C05571"/>
    <w:rsid w:val="00C246CE"/>
    <w:rsid w:val="00C54711"/>
    <w:rsid w:val="00C57FA2"/>
    <w:rsid w:val="00CC2E4D"/>
    <w:rsid w:val="00CC78A5"/>
    <w:rsid w:val="00CC7B16"/>
    <w:rsid w:val="00CE15FE"/>
    <w:rsid w:val="00CE7507"/>
    <w:rsid w:val="00D02E15"/>
    <w:rsid w:val="00D04A0D"/>
    <w:rsid w:val="00D14F44"/>
    <w:rsid w:val="00D2217A"/>
    <w:rsid w:val="00D278E8"/>
    <w:rsid w:val="00D421E8"/>
    <w:rsid w:val="00D44604"/>
    <w:rsid w:val="00D479B3"/>
    <w:rsid w:val="00D52283"/>
    <w:rsid w:val="00D524E5"/>
    <w:rsid w:val="00D72FEF"/>
    <w:rsid w:val="00D755FA"/>
    <w:rsid w:val="00DC4A4E"/>
    <w:rsid w:val="00DC5F4F"/>
    <w:rsid w:val="00DD1874"/>
    <w:rsid w:val="00DD63BD"/>
    <w:rsid w:val="00DE32F8"/>
    <w:rsid w:val="00DF05DB"/>
    <w:rsid w:val="00DF7E20"/>
    <w:rsid w:val="00E172C6"/>
    <w:rsid w:val="00E24309"/>
    <w:rsid w:val="00E53D82"/>
    <w:rsid w:val="00E9330A"/>
    <w:rsid w:val="00EE6B97"/>
    <w:rsid w:val="00F12C3B"/>
    <w:rsid w:val="00F2483A"/>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5D24C92"/>
  <w15:docId w15:val="{7A1528AD-8569-44BA-AF13-B91C20F61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CE7507"/>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CE7507"/>
    <w:rPr>
      <w:rFonts w:ascii="Calibri" w:hAnsi="Calibri" w:cs="Calibri"/>
      <w:noProof/>
      <w:lang w:val="en-US"/>
    </w:rPr>
  </w:style>
  <w:style w:type="paragraph" w:customStyle="1" w:styleId="EndNoteBibliography">
    <w:name w:val="EndNote Bibliography"/>
    <w:basedOn w:val="Normal"/>
    <w:link w:val="EndNoteBibliographyChar"/>
    <w:rsid w:val="00CE7507"/>
    <w:rPr>
      <w:rFonts w:ascii="Calibri" w:hAnsi="Calibri" w:cs="Calibri"/>
      <w:noProof/>
      <w:lang w:val="en-US"/>
    </w:rPr>
  </w:style>
  <w:style w:type="character" w:customStyle="1" w:styleId="EndNoteBibliographyChar">
    <w:name w:val="EndNote Bibliography Char"/>
    <w:basedOn w:val="DefaultParagraphFont"/>
    <w:link w:val="EndNoteBibliography"/>
    <w:rsid w:val="00CE7507"/>
    <w:rPr>
      <w:rFonts w:ascii="Calibri" w:hAnsi="Calibri" w:cs="Calibri"/>
      <w:noProof/>
      <w:lang w:val="en-US"/>
    </w:rPr>
  </w:style>
  <w:style w:type="character" w:styleId="Hyperlink">
    <w:name w:val="Hyperlink"/>
    <w:basedOn w:val="DefaultParagraphFont"/>
    <w:uiPriority w:val="99"/>
    <w:unhideWhenUsed/>
    <w:rsid w:val="00CE750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1532494784">
      <w:bodyDiv w:val="1"/>
      <w:marLeft w:val="0"/>
      <w:marRight w:val="0"/>
      <w:marTop w:val="0"/>
      <w:marBottom w:val="0"/>
      <w:divBdr>
        <w:top w:val="none" w:sz="0" w:space="0" w:color="auto"/>
        <w:left w:val="none" w:sz="0" w:space="0" w:color="auto"/>
        <w:bottom w:val="none" w:sz="0" w:space="0" w:color="auto"/>
        <w:right w:val="none" w:sz="0" w:space="0" w:color="auto"/>
      </w:divBdr>
    </w:div>
    <w:div w:id="1971742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yperlink" Target="http://supportingphysicsteaching.net/MaHome.html" TargetMode="Externa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Simple%20Multi%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.template_physics_diagnostic_Simple Multi Choice.dotx</Template>
  <TotalTime>20</TotalTime>
  <Pages>3</Pages>
  <Words>1179</Words>
  <Characters>6722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5</cp:revision>
  <cp:lastPrinted>2017-02-24T16:20:00Z</cp:lastPrinted>
  <dcterms:created xsi:type="dcterms:W3CDTF">2019-06-25T08:17:00Z</dcterms:created>
  <dcterms:modified xsi:type="dcterms:W3CDTF">2019-07-03T11:24:00Z</dcterms:modified>
</cp:coreProperties>
</file>